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8B" w:rsidRPr="00E33C2C" w:rsidRDefault="00A3368B" w:rsidP="00E33C2C">
      <w:pPr>
        <w:spacing w:line="276" w:lineRule="auto"/>
        <w:ind w:right="423"/>
        <w:jc w:val="center"/>
        <w:rPr>
          <w:rFonts w:eastAsia="SimSun"/>
          <w:b/>
          <w:i/>
          <w:sz w:val="28"/>
          <w:lang w:eastAsia="zh-CN"/>
        </w:rPr>
      </w:pPr>
      <w:r w:rsidRPr="00E33C2C">
        <w:rPr>
          <w:rFonts w:eastAsia="SimSun"/>
          <w:b/>
          <w:i/>
          <w:sz w:val="28"/>
          <w:lang w:eastAsia="zh-CN"/>
        </w:rPr>
        <w:t>Уважаемые коллеги!</w:t>
      </w:r>
    </w:p>
    <w:p w:rsidR="00C12181" w:rsidRPr="00E33C2C" w:rsidRDefault="00C12181" w:rsidP="00E33C2C">
      <w:pPr>
        <w:spacing w:line="276" w:lineRule="auto"/>
        <w:ind w:right="423"/>
        <w:jc w:val="both"/>
        <w:rPr>
          <w:rFonts w:eastAsia="SimSun"/>
          <w:lang w:eastAsia="zh-CN"/>
        </w:rPr>
      </w:pPr>
    </w:p>
    <w:p w:rsidR="0058710F" w:rsidRPr="008A3A81" w:rsidRDefault="00A3368B" w:rsidP="00AF3CFB">
      <w:pPr>
        <w:jc w:val="both"/>
      </w:pPr>
      <w:r w:rsidRPr="00A66E80">
        <w:rPr>
          <w:rFonts w:eastAsia="SimSun"/>
          <w:lang w:eastAsia="zh-CN"/>
        </w:rPr>
        <w:t>Сообщаем вам о том, что</w:t>
      </w:r>
      <w:r w:rsidR="00EE2A2C" w:rsidRPr="00A66E80">
        <w:rPr>
          <w:rFonts w:eastAsia="SimSun"/>
          <w:lang w:eastAsia="zh-CN"/>
        </w:rPr>
        <w:t xml:space="preserve"> </w:t>
      </w:r>
      <w:r w:rsidR="003A4BD7">
        <w:rPr>
          <w:b/>
        </w:rPr>
        <w:t>Министерство энергетики РФ</w:t>
      </w:r>
      <w:r w:rsidR="003D396E">
        <w:rPr>
          <w:b/>
        </w:rPr>
        <w:t xml:space="preserve"> </w:t>
      </w:r>
      <w:r w:rsidR="003F0C56" w:rsidRPr="00A66E80">
        <w:t xml:space="preserve">проводит </w:t>
      </w:r>
      <w:bookmarkStart w:id="0" w:name="_GoBack"/>
      <w:bookmarkEnd w:id="0"/>
      <w:r w:rsidR="0058710F" w:rsidRPr="003A4BD7">
        <w:t xml:space="preserve">Открытый </w:t>
      </w:r>
      <w:r w:rsidR="003F0C56" w:rsidRPr="003A4BD7">
        <w:rPr>
          <w:shd w:val="clear" w:color="auto" w:fill="FFFFFF"/>
        </w:rPr>
        <w:t xml:space="preserve">конкурс </w:t>
      </w:r>
      <w:r w:rsidR="003D396E" w:rsidRPr="003A4BD7">
        <w:rPr>
          <w:shd w:val="clear" w:color="auto" w:fill="FFFFFF"/>
        </w:rPr>
        <w:t xml:space="preserve">в рамках 44 ФЗ </w:t>
      </w:r>
      <w:r w:rsidR="003A4BD7" w:rsidRPr="003A4BD7">
        <w:rPr>
          <w:shd w:val="clear" w:color="auto" w:fill="FFFFFF"/>
        </w:rPr>
        <w:t xml:space="preserve">на выполнение научно-исследовательской работы по теме </w:t>
      </w:r>
      <w:r w:rsidR="003A4BD7" w:rsidRPr="003A4BD7">
        <w:rPr>
          <w:b/>
          <w:shd w:val="clear" w:color="auto" w:fill="FFFFFF"/>
        </w:rPr>
        <w:t>«Подготовка научно обоснованных предложений по обеспечению формирования единой системы мониторинга выбросов и поглощения парниковых газов и адаптации к изменениям климата для отраслей топливно-энергетического комплекса на территории Р</w:t>
      </w:r>
      <w:r w:rsidR="003A4BD7">
        <w:rPr>
          <w:b/>
          <w:shd w:val="clear" w:color="auto" w:fill="FFFFFF"/>
        </w:rPr>
        <w:t>Ф</w:t>
      </w:r>
      <w:r w:rsidR="003A4BD7" w:rsidRPr="003A4BD7">
        <w:rPr>
          <w:b/>
          <w:shd w:val="clear" w:color="auto" w:fill="FFFFFF"/>
        </w:rPr>
        <w:t>».</w:t>
      </w:r>
    </w:p>
    <w:p w:rsidR="003F0C56" w:rsidRPr="00A66E80" w:rsidRDefault="003F0C56" w:rsidP="00AF3CFB">
      <w:pPr>
        <w:spacing w:before="30"/>
        <w:ind w:left="30" w:right="30"/>
        <w:jc w:val="both"/>
      </w:pPr>
    </w:p>
    <w:p w:rsidR="00AF3CFB" w:rsidRPr="00E33C2C" w:rsidRDefault="00AF3CFB" w:rsidP="00AF3CFB">
      <w:pPr>
        <w:spacing w:line="276" w:lineRule="auto"/>
        <w:ind w:right="423"/>
        <w:jc w:val="both"/>
        <w:rPr>
          <w:rFonts w:eastAsia="SimSun"/>
          <w:b/>
          <w:lang w:eastAsia="zh-CN"/>
        </w:rPr>
      </w:pPr>
      <w:r w:rsidRPr="00E33C2C">
        <w:rPr>
          <w:rFonts w:eastAsia="SimSun"/>
          <w:b/>
          <w:lang w:eastAsia="zh-CN"/>
        </w:rPr>
        <w:t>Основные условия конкурса:</w:t>
      </w:r>
    </w:p>
    <w:p w:rsidR="00AF3CFB" w:rsidRPr="00E33C2C" w:rsidRDefault="00AF3CFB" w:rsidP="00AF3CFB">
      <w:pPr>
        <w:spacing w:line="276" w:lineRule="auto"/>
        <w:ind w:right="423"/>
        <w:jc w:val="both"/>
        <w:rPr>
          <w:rFonts w:eastAsia="SimSun"/>
          <w:lang w:eastAsia="zh-CN"/>
        </w:rPr>
      </w:pPr>
      <w:r w:rsidRPr="00E33C2C">
        <w:rPr>
          <w:rFonts w:eastAsia="SimSun"/>
          <w:lang w:eastAsia="zh-CN"/>
        </w:rPr>
        <w:t>От организации может быть подана только одна заявка.</w:t>
      </w:r>
    </w:p>
    <w:p w:rsidR="00AF3CFB" w:rsidRPr="00E33C2C" w:rsidRDefault="00AF3CFB" w:rsidP="00AF3CFB">
      <w:pPr>
        <w:spacing w:line="276" w:lineRule="auto"/>
        <w:ind w:right="423"/>
        <w:jc w:val="both"/>
        <w:rPr>
          <w:rFonts w:eastAsia="SimSun"/>
          <w:lang w:eastAsia="zh-CN"/>
        </w:rPr>
      </w:pPr>
      <w:r w:rsidRPr="00E33C2C">
        <w:rPr>
          <w:rFonts w:eastAsia="SimSun"/>
          <w:lang w:eastAsia="zh-CN"/>
        </w:rPr>
        <w:t xml:space="preserve">Заявка подается на электронной торговой площадке </w:t>
      </w:r>
      <w:r w:rsidR="001927DC">
        <w:rPr>
          <w:rFonts w:eastAsia="SimSun"/>
          <w:lang w:eastAsia="zh-CN"/>
        </w:rPr>
        <w:t>Сбербанк-АСТ</w:t>
      </w:r>
    </w:p>
    <w:p w:rsidR="003D396E" w:rsidRDefault="00AF3CFB" w:rsidP="00AF3CFB">
      <w:pPr>
        <w:spacing w:line="276" w:lineRule="auto"/>
        <w:ind w:right="423"/>
        <w:jc w:val="both"/>
        <w:rPr>
          <w:rFonts w:eastAsia="SimSun"/>
          <w:b/>
          <w:lang w:eastAsia="zh-CN"/>
        </w:rPr>
      </w:pPr>
      <w:r w:rsidRPr="00E33C2C">
        <w:rPr>
          <w:rFonts w:eastAsia="SimSun"/>
          <w:lang w:eastAsia="zh-CN"/>
        </w:rPr>
        <w:t xml:space="preserve">Дата и время окончания срока подачи заявок: </w:t>
      </w:r>
      <w:r w:rsidR="001927DC">
        <w:rPr>
          <w:rFonts w:eastAsia="SimSun"/>
          <w:lang w:eastAsia="zh-CN"/>
        </w:rPr>
        <w:t xml:space="preserve">23 октября 2020 </w:t>
      </w:r>
      <w:r w:rsidR="001927DC" w:rsidRPr="001927DC">
        <w:rPr>
          <w:rFonts w:eastAsia="SimSun"/>
          <w:lang w:eastAsia="zh-CN"/>
        </w:rPr>
        <w:t xml:space="preserve"> 11:00</w:t>
      </w:r>
      <w:r w:rsidR="001927DC">
        <w:rPr>
          <w:rFonts w:eastAsia="SimSun"/>
          <w:lang w:eastAsia="zh-CN"/>
        </w:rPr>
        <w:t xml:space="preserve"> </w:t>
      </w:r>
      <w:proofErr w:type="spellStart"/>
      <w:proofErr w:type="gramStart"/>
      <w:r w:rsidR="001927DC">
        <w:rPr>
          <w:rFonts w:eastAsia="SimSun"/>
          <w:lang w:eastAsia="zh-CN"/>
        </w:rPr>
        <w:t>мск</w:t>
      </w:r>
      <w:proofErr w:type="spellEnd"/>
      <w:proofErr w:type="gramEnd"/>
    </w:p>
    <w:p w:rsidR="00AF3CFB" w:rsidRPr="00E33C2C" w:rsidRDefault="00AD6931" w:rsidP="00AF3CFB">
      <w:pPr>
        <w:spacing w:line="276" w:lineRule="auto"/>
        <w:ind w:right="423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Начальная </w:t>
      </w:r>
      <w:r w:rsidR="00AF3CFB" w:rsidRPr="00E33C2C">
        <w:rPr>
          <w:rFonts w:eastAsia="SimSun"/>
          <w:lang w:eastAsia="zh-CN"/>
        </w:rPr>
        <w:t>цена контракта:</w:t>
      </w:r>
      <w:r w:rsidR="00AF3CFB" w:rsidRPr="00E33C2C">
        <w:rPr>
          <w:rFonts w:eastAsia="SimSun"/>
          <w:b/>
          <w:lang w:eastAsia="zh-CN"/>
        </w:rPr>
        <w:t xml:space="preserve"> </w:t>
      </w:r>
      <w:r w:rsidR="001927DC" w:rsidRPr="001927DC">
        <w:rPr>
          <w:rFonts w:eastAsia="SimSun"/>
          <w:b/>
          <w:lang w:eastAsia="zh-CN"/>
        </w:rPr>
        <w:t>8 500 000,00 ₽</w:t>
      </w:r>
    </w:p>
    <w:p w:rsidR="00FC4176" w:rsidRDefault="00FC4176" w:rsidP="00FC4176">
      <w:pPr>
        <w:tabs>
          <w:tab w:val="left" w:pos="993"/>
          <w:tab w:val="left" w:pos="1134"/>
        </w:tabs>
        <w:jc w:val="both"/>
        <w:rPr>
          <w:b/>
        </w:rPr>
      </w:pPr>
    </w:p>
    <w:p w:rsidR="00FC4176" w:rsidRPr="00CC00DD" w:rsidRDefault="00FC4176" w:rsidP="00FC4176">
      <w:pPr>
        <w:tabs>
          <w:tab w:val="left" w:pos="993"/>
          <w:tab w:val="left" w:pos="1134"/>
        </w:tabs>
        <w:jc w:val="both"/>
      </w:pPr>
      <w:r w:rsidRPr="00D33B9D">
        <w:rPr>
          <w:b/>
        </w:rPr>
        <w:t>Цель работ:</w:t>
      </w:r>
      <w:r>
        <w:rPr>
          <w:b/>
        </w:rPr>
        <w:t xml:space="preserve"> </w:t>
      </w:r>
      <w:r w:rsidR="00CC00DD" w:rsidRPr="00CC00DD">
        <w:t>формирование предложений по обеспечению формирования единой системы мониторинга выбросов и поглощения парниковых газов и адаптации к изменениям климата для отраслей топливно-энергетического комплекса на территории РФ</w:t>
      </w:r>
      <w:r w:rsidR="00CC00DD">
        <w:t>.</w:t>
      </w:r>
    </w:p>
    <w:p w:rsidR="00FC4176" w:rsidRDefault="00FC4176" w:rsidP="00FC4176">
      <w:pPr>
        <w:tabs>
          <w:tab w:val="left" w:pos="993"/>
          <w:tab w:val="left" w:pos="1134"/>
        </w:tabs>
        <w:jc w:val="both"/>
      </w:pPr>
    </w:p>
    <w:p w:rsidR="00FC4176" w:rsidRPr="008A33D4" w:rsidRDefault="00FC4176" w:rsidP="00FC4176">
      <w:pPr>
        <w:tabs>
          <w:tab w:val="left" w:pos="993"/>
          <w:tab w:val="left" w:pos="1134"/>
        </w:tabs>
        <w:jc w:val="both"/>
      </w:pPr>
    </w:p>
    <w:p w:rsidR="00CC00DD" w:rsidRPr="00CC00DD" w:rsidRDefault="00CC00DD" w:rsidP="00CC00DD">
      <w:pPr>
        <w:spacing w:line="276" w:lineRule="auto"/>
        <w:ind w:right="423"/>
        <w:jc w:val="both"/>
        <w:rPr>
          <w:b/>
          <w:bCs/>
          <w:color w:val="000000"/>
          <w:u w:color="000000"/>
        </w:rPr>
      </w:pPr>
      <w:r w:rsidRPr="00CC00DD">
        <w:rPr>
          <w:b/>
          <w:bCs/>
          <w:color w:val="000000"/>
          <w:u w:color="000000"/>
        </w:rPr>
        <w:t>Сроки и этапы выполнения НИР</w:t>
      </w:r>
    </w:p>
    <w:p w:rsidR="00CC00DD" w:rsidRPr="00CC00DD" w:rsidRDefault="00CC00DD" w:rsidP="00CC00DD">
      <w:pPr>
        <w:spacing w:line="276" w:lineRule="auto"/>
        <w:ind w:right="423"/>
        <w:jc w:val="both"/>
        <w:rPr>
          <w:bCs/>
          <w:color w:val="000000"/>
          <w:u w:color="000000"/>
        </w:rPr>
      </w:pPr>
      <w:r w:rsidRPr="00CC00DD">
        <w:rPr>
          <w:bCs/>
          <w:color w:val="000000"/>
          <w:u w:color="000000"/>
        </w:rPr>
        <w:t>Дата начала выполнения НИР: дата заключения государственного контракта.</w:t>
      </w:r>
    </w:p>
    <w:p w:rsidR="00CC00DD" w:rsidRPr="00CC00DD" w:rsidRDefault="00CC00DD" w:rsidP="00CC00DD">
      <w:pPr>
        <w:spacing w:line="276" w:lineRule="auto"/>
        <w:ind w:right="423"/>
        <w:jc w:val="both"/>
        <w:rPr>
          <w:bCs/>
          <w:color w:val="000000"/>
          <w:u w:color="000000"/>
        </w:rPr>
      </w:pPr>
      <w:r w:rsidRPr="00CC00DD">
        <w:rPr>
          <w:bCs/>
          <w:color w:val="000000"/>
          <w:u w:color="000000"/>
        </w:rPr>
        <w:t>Дата передачи исполнителем заказчику отчетной документации по государственному контракту: 30 ноября 2020 г.</w:t>
      </w:r>
    </w:p>
    <w:p w:rsidR="00CC00DD" w:rsidRPr="00CC00DD" w:rsidRDefault="00CC00DD" w:rsidP="00CC00DD">
      <w:pPr>
        <w:spacing w:line="276" w:lineRule="auto"/>
        <w:ind w:right="423"/>
        <w:jc w:val="both"/>
        <w:rPr>
          <w:bCs/>
          <w:color w:val="000000"/>
          <w:u w:color="000000"/>
        </w:rPr>
      </w:pPr>
      <w:r w:rsidRPr="00CC00DD">
        <w:rPr>
          <w:bCs/>
          <w:color w:val="000000"/>
          <w:u w:color="000000"/>
        </w:rPr>
        <w:t>Дата окончания выполнения работ по государственному контракту: не позднее 21 декабря 2020 г.</w:t>
      </w:r>
    </w:p>
    <w:p w:rsidR="00A3368B" w:rsidRPr="00CC00DD" w:rsidRDefault="00CC00DD" w:rsidP="00CC00DD">
      <w:pPr>
        <w:spacing w:line="276" w:lineRule="auto"/>
        <w:ind w:right="423"/>
        <w:jc w:val="both"/>
        <w:rPr>
          <w:bCs/>
        </w:rPr>
      </w:pPr>
      <w:r w:rsidRPr="00CC00DD">
        <w:rPr>
          <w:bCs/>
          <w:color w:val="000000"/>
          <w:u w:color="000000"/>
        </w:rPr>
        <w:t>НИР выполняется в один этап.</w:t>
      </w:r>
    </w:p>
    <w:p w:rsidR="00CD1C2B" w:rsidRPr="00E33C2C" w:rsidRDefault="00CD1C2B" w:rsidP="00AF3CFB">
      <w:pPr>
        <w:spacing w:line="276" w:lineRule="auto"/>
        <w:ind w:right="423"/>
        <w:jc w:val="both"/>
        <w:rPr>
          <w:rFonts w:eastAsia="SimSun"/>
          <w:lang w:eastAsia="zh-CN"/>
        </w:rPr>
      </w:pPr>
    </w:p>
    <w:p w:rsidR="00A3368B" w:rsidRPr="00E33C2C" w:rsidRDefault="00DA6221" w:rsidP="00AF3CFB">
      <w:pPr>
        <w:spacing w:line="276" w:lineRule="auto"/>
        <w:ind w:right="423"/>
        <w:jc w:val="both"/>
        <w:rPr>
          <w:rFonts w:eastAsia="SimSun"/>
          <w:lang w:eastAsia="zh-CN"/>
        </w:rPr>
      </w:pPr>
      <w:r w:rsidRPr="00E33C2C">
        <w:rPr>
          <w:rFonts w:eastAsia="SimSun"/>
          <w:lang w:eastAsia="zh-CN"/>
        </w:rPr>
        <w:t xml:space="preserve">Подробные требования к выполняемым работам отражены в </w:t>
      </w:r>
      <w:r w:rsidR="00101D83">
        <w:rPr>
          <w:rFonts w:eastAsia="SimSun"/>
          <w:b/>
          <w:lang w:eastAsia="zh-CN"/>
        </w:rPr>
        <w:t>Техническом задании конкурсной документации</w:t>
      </w:r>
      <w:r w:rsidR="00101D83" w:rsidRPr="00E33C2C">
        <w:rPr>
          <w:rFonts w:eastAsia="SimSun"/>
          <w:lang w:eastAsia="zh-CN"/>
        </w:rPr>
        <w:t>.</w:t>
      </w:r>
    </w:p>
    <w:p w:rsidR="00E33C2C" w:rsidRPr="00AF3CFB" w:rsidRDefault="00E33C2C" w:rsidP="00AF3CFB">
      <w:pPr>
        <w:spacing w:line="276" w:lineRule="auto"/>
        <w:ind w:right="423"/>
        <w:jc w:val="both"/>
        <w:rPr>
          <w:rFonts w:eastAsia="SimSun"/>
          <w:lang w:eastAsia="zh-CN"/>
        </w:rPr>
      </w:pPr>
    </w:p>
    <w:p w:rsidR="00900572" w:rsidRPr="00AF3CFB" w:rsidRDefault="00900572" w:rsidP="00AF3CFB">
      <w:pPr>
        <w:spacing w:before="35"/>
        <w:ind w:left="-10" w:right="-10"/>
        <w:jc w:val="both"/>
        <w:rPr>
          <w:b/>
          <w:color w:val="000000"/>
        </w:rPr>
      </w:pPr>
      <w:r w:rsidRPr="00AF3CFB">
        <w:rPr>
          <w:b/>
          <w:color w:val="000000"/>
        </w:rPr>
        <w:t>Критерии оценки заявок</w:t>
      </w:r>
      <w:r w:rsidR="00E33C2C" w:rsidRPr="00AF3CFB">
        <w:rPr>
          <w:b/>
          <w:color w:val="000000"/>
        </w:rPr>
        <w:t>:</w:t>
      </w:r>
    </w:p>
    <w:tbl>
      <w:tblPr>
        <w:tblStyle w:val="a7"/>
        <w:tblW w:w="0" w:type="auto"/>
        <w:tblInd w:w="-10" w:type="dxa"/>
        <w:tblLook w:val="04A0" w:firstRow="1" w:lastRow="0" w:firstColumn="1" w:lastColumn="0" w:noHBand="0" w:noVBand="1"/>
      </w:tblPr>
      <w:tblGrid>
        <w:gridCol w:w="8056"/>
        <w:gridCol w:w="1515"/>
      </w:tblGrid>
      <w:tr w:rsidR="00916FBC" w:rsidTr="00FC347D">
        <w:tc>
          <w:tcPr>
            <w:tcW w:w="8056" w:type="dxa"/>
          </w:tcPr>
          <w:p w:rsidR="00916FBC" w:rsidRDefault="00916FBC" w:rsidP="00FC347D">
            <w:pPr>
              <w:spacing w:before="35"/>
              <w:ind w:right="-1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</w:t>
            </w:r>
          </w:p>
        </w:tc>
        <w:tc>
          <w:tcPr>
            <w:tcW w:w="1515" w:type="dxa"/>
          </w:tcPr>
          <w:p w:rsidR="00916FBC" w:rsidRDefault="00916FBC" w:rsidP="00FC347D">
            <w:pPr>
              <w:spacing w:before="35"/>
              <w:ind w:right="-1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Значимость</w:t>
            </w:r>
          </w:p>
        </w:tc>
      </w:tr>
      <w:tr w:rsidR="00916FBC" w:rsidTr="00FC347D">
        <w:tc>
          <w:tcPr>
            <w:tcW w:w="8056" w:type="dxa"/>
          </w:tcPr>
          <w:p w:rsidR="00916FBC" w:rsidRDefault="00CC00DD" w:rsidP="00FC347D">
            <w:pPr>
              <w:spacing w:before="35"/>
              <w:ind w:right="-1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Цена контракта</w:t>
            </w:r>
          </w:p>
        </w:tc>
        <w:tc>
          <w:tcPr>
            <w:tcW w:w="1515" w:type="dxa"/>
          </w:tcPr>
          <w:p w:rsidR="00916FBC" w:rsidRDefault="00CC00DD" w:rsidP="00FC347D">
            <w:pPr>
              <w:spacing w:before="35"/>
              <w:ind w:right="-1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20%</w:t>
            </w:r>
          </w:p>
        </w:tc>
      </w:tr>
      <w:tr w:rsidR="00916FBC" w:rsidTr="00FC347D">
        <w:tc>
          <w:tcPr>
            <w:tcW w:w="8056" w:type="dxa"/>
          </w:tcPr>
          <w:p w:rsidR="00916FBC" w:rsidRDefault="00CC00DD" w:rsidP="00FC347D">
            <w:pPr>
              <w:ind w:right="-10"/>
              <w:jc w:val="both"/>
              <w:rPr>
                <w:b/>
                <w:bCs/>
                <w:iCs/>
              </w:rPr>
            </w:pPr>
            <w:r w:rsidRPr="00CC00DD">
              <w:rPr>
                <w:b/>
                <w:bCs/>
                <w:iCs/>
              </w:rPr>
              <w:t>Квалификация участников закупки</w:t>
            </w:r>
          </w:p>
          <w:p w:rsidR="002725FB" w:rsidRDefault="002725FB" w:rsidP="00FC347D">
            <w:pPr>
              <w:ind w:right="-10"/>
              <w:jc w:val="both"/>
              <w:rPr>
                <w:bCs/>
                <w:iCs/>
              </w:rPr>
            </w:pPr>
            <w:r w:rsidRPr="002725FB">
              <w:rPr>
                <w:bCs/>
                <w:iCs/>
              </w:rPr>
              <w:t xml:space="preserve">Квалифицированными специалистами считаются специалисты, имеющие ученую степень  </w:t>
            </w:r>
            <w:r w:rsidRPr="002725FB">
              <w:rPr>
                <w:bCs/>
                <w:i/>
                <w:iCs/>
              </w:rPr>
              <w:t>не ниже кандидата технических или экономических или физико-математических наук</w:t>
            </w:r>
            <w:r w:rsidRPr="002725FB">
              <w:rPr>
                <w:bCs/>
                <w:iCs/>
              </w:rPr>
              <w:t xml:space="preserve"> и </w:t>
            </w:r>
            <w:r w:rsidRPr="002725FB">
              <w:rPr>
                <w:bCs/>
                <w:i/>
                <w:iCs/>
              </w:rPr>
              <w:t xml:space="preserve">состоящие в трудовых или гражданско-правовых </w:t>
            </w:r>
            <w:proofErr w:type="gramStart"/>
            <w:r w:rsidRPr="002725FB">
              <w:rPr>
                <w:bCs/>
                <w:i/>
                <w:iCs/>
              </w:rPr>
              <w:t>отношениях</w:t>
            </w:r>
            <w:proofErr w:type="gramEnd"/>
            <w:r w:rsidRPr="002725FB">
              <w:rPr>
                <w:bCs/>
                <w:i/>
                <w:iCs/>
              </w:rPr>
              <w:t xml:space="preserve"> с участником закупки</w:t>
            </w:r>
            <w:r>
              <w:rPr>
                <w:bCs/>
                <w:iCs/>
              </w:rPr>
              <w:t>.</w:t>
            </w:r>
          </w:p>
          <w:p w:rsidR="002725FB" w:rsidRDefault="002725FB" w:rsidP="00FC347D">
            <w:pPr>
              <w:ind w:right="-10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Предельное необходимое максимальное количество квалифицированных специалистов </w:t>
            </w:r>
            <w:r w:rsidRPr="002725FB">
              <w:rPr>
                <w:b/>
                <w:bCs/>
                <w:iCs/>
              </w:rPr>
              <w:t>= 10</w:t>
            </w:r>
          </w:p>
          <w:p w:rsidR="002725FB" w:rsidRPr="002725FB" w:rsidRDefault="002725FB" w:rsidP="00FC347D">
            <w:pPr>
              <w:ind w:right="-10"/>
              <w:jc w:val="both"/>
              <w:rPr>
                <w:bCs/>
                <w:iCs/>
              </w:rPr>
            </w:pPr>
          </w:p>
        </w:tc>
        <w:tc>
          <w:tcPr>
            <w:tcW w:w="1515" w:type="dxa"/>
          </w:tcPr>
          <w:p w:rsidR="00916FBC" w:rsidRDefault="00CC00DD" w:rsidP="00FC347D">
            <w:pPr>
              <w:spacing w:before="35"/>
              <w:ind w:right="-1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32%</w:t>
            </w:r>
          </w:p>
        </w:tc>
      </w:tr>
      <w:tr w:rsidR="00916FBC" w:rsidTr="00FC347D">
        <w:tc>
          <w:tcPr>
            <w:tcW w:w="8056" w:type="dxa"/>
          </w:tcPr>
          <w:p w:rsidR="00CC00DD" w:rsidRPr="00CC00DD" w:rsidRDefault="00CC00DD" w:rsidP="00CC00DD">
            <w:pPr>
              <w:spacing w:after="60"/>
              <w:rPr>
                <w:b/>
              </w:rPr>
            </w:pPr>
            <w:r w:rsidRPr="00CC00DD">
              <w:rPr>
                <w:b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</w:p>
          <w:p w:rsidR="002725FB" w:rsidRPr="002725FB" w:rsidRDefault="002725FB" w:rsidP="002725FB">
            <w:pPr>
              <w:suppressAutoHyphens/>
              <w:jc w:val="both"/>
            </w:pPr>
            <w:r w:rsidRPr="002725FB">
              <w:t>Оценивает</w:t>
            </w:r>
            <w:r>
              <w:t>ся</w:t>
            </w:r>
            <w:r w:rsidRPr="002725FB">
              <w:t xml:space="preserve"> количество контрактов на выполненные ранее</w:t>
            </w:r>
            <w:r w:rsidRPr="002725FB">
              <w:rPr>
                <w:b/>
              </w:rPr>
              <w:t xml:space="preserve"> </w:t>
            </w:r>
            <w:r w:rsidRPr="002725FB">
              <w:t>работы либо оказанные услуги сопоставимого характера и объема.</w:t>
            </w:r>
          </w:p>
          <w:p w:rsidR="002725FB" w:rsidRPr="002725FB" w:rsidRDefault="002725FB" w:rsidP="002725FB">
            <w:pPr>
              <w:suppressAutoHyphens/>
              <w:jc w:val="both"/>
            </w:pPr>
            <w:r w:rsidRPr="002725FB">
              <w:t>Сопоставим</w:t>
            </w:r>
            <w:r>
              <w:t>ыми по</w:t>
            </w:r>
            <w:r w:rsidRPr="002725FB">
              <w:t xml:space="preserve"> характер</w:t>
            </w:r>
            <w:r>
              <w:t>у</w:t>
            </w:r>
            <w:r w:rsidRPr="002725FB">
              <w:t xml:space="preserve"> и объем</w:t>
            </w:r>
            <w:r>
              <w:t>у</w:t>
            </w:r>
            <w:r w:rsidRPr="002725FB">
              <w:t xml:space="preserve"> считаются подтвержденные копиями документов  успешно </w:t>
            </w:r>
            <w:r w:rsidRPr="002725FB">
              <w:rPr>
                <w:b/>
              </w:rPr>
              <w:t>исполненные контракты</w:t>
            </w:r>
            <w:r w:rsidRPr="002725FB">
              <w:t xml:space="preserve"> (договоры) со сроком заключения и исполнения в период </w:t>
            </w:r>
            <w:r w:rsidRPr="002725FB">
              <w:rPr>
                <w:b/>
              </w:rPr>
              <w:t>с 2010 года по 1 полугодие 2020</w:t>
            </w:r>
            <w:r w:rsidRPr="002725FB">
              <w:t xml:space="preserve"> года </w:t>
            </w:r>
            <w:r w:rsidRPr="002725FB">
              <w:rPr>
                <w:b/>
              </w:rPr>
              <w:t>стоимостью не менее 5 000 000</w:t>
            </w:r>
            <w:r w:rsidRPr="002725FB">
              <w:t xml:space="preserve"> рублей 00 копеек по </w:t>
            </w:r>
            <w:r w:rsidRPr="002725FB">
              <w:rPr>
                <w:b/>
              </w:rPr>
              <w:t>одной из</w:t>
            </w:r>
            <w:r w:rsidRPr="002725FB">
              <w:t xml:space="preserve"> </w:t>
            </w:r>
            <w:r w:rsidRPr="002725FB">
              <w:rPr>
                <w:b/>
              </w:rPr>
              <w:lastRenderedPageBreak/>
              <w:t>следующих тематик:</w:t>
            </w:r>
          </w:p>
          <w:p w:rsidR="002725FB" w:rsidRPr="002725FB" w:rsidRDefault="002725FB" w:rsidP="002725FB">
            <w:pPr>
              <w:pStyle w:val="a4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/>
                <w:sz w:val="24"/>
              </w:rPr>
            </w:pPr>
            <w:r w:rsidRPr="002725FB">
              <w:rPr>
                <w:rFonts w:ascii="Times New Roman" w:hAnsi="Times New Roman"/>
                <w:sz w:val="24"/>
              </w:rPr>
              <w:t>разработка концептуальных документов в области сокращения объема выбросов парниковых газов, включая вопросы прогнозирования, мониторинга, отчетности и проверки объема выбросов парниковых газов;</w:t>
            </w:r>
          </w:p>
          <w:p w:rsidR="002725FB" w:rsidRPr="002725FB" w:rsidRDefault="002725FB" w:rsidP="002725FB">
            <w:pPr>
              <w:pStyle w:val="a4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/>
                <w:sz w:val="24"/>
              </w:rPr>
            </w:pPr>
            <w:r w:rsidRPr="002725FB">
              <w:rPr>
                <w:rFonts w:ascii="Times New Roman" w:hAnsi="Times New Roman"/>
                <w:sz w:val="24"/>
              </w:rPr>
              <w:t>разработка предложений и концептуальных документов по формированию отраслевой инновационной политики, включая развитие международного сотрудничества России с другими странами и международными организациями;</w:t>
            </w:r>
          </w:p>
          <w:p w:rsidR="002725FB" w:rsidRPr="002725FB" w:rsidRDefault="002725FB" w:rsidP="002725FB">
            <w:pPr>
              <w:pStyle w:val="a4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/>
                <w:sz w:val="24"/>
              </w:rPr>
            </w:pPr>
            <w:r w:rsidRPr="002725FB">
              <w:rPr>
                <w:rFonts w:ascii="Times New Roman" w:hAnsi="Times New Roman"/>
                <w:sz w:val="24"/>
              </w:rPr>
              <w:t>подготовка аналитических обзоров наилучших мировых практик и технологических решений по секторам и отраслям экономики, в том числе в области сокращения объема выбросов парниковых газов,  включая вопросы  прогнозирования, мониторинга, отчетности и проверки объема выбросов парниковых газов;</w:t>
            </w:r>
          </w:p>
          <w:p w:rsidR="002725FB" w:rsidRPr="002725FB" w:rsidRDefault="002725FB" w:rsidP="002725FB">
            <w:pPr>
              <w:pStyle w:val="a4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2725FB">
              <w:rPr>
                <w:rFonts w:ascii="Times New Roman" w:hAnsi="Times New Roman"/>
                <w:sz w:val="24"/>
              </w:rPr>
              <w:t>анализ зарубежной практики государственного регулирования в различных секторах и отраслях экономики, в том числе в области сокращения объема выбросов парниковых газов, включая вопросы  прогнозирования, мониторинга, отчетности и проверки объема выбросов парниковых газов.</w:t>
            </w:r>
            <w:proofErr w:type="gramEnd"/>
          </w:p>
          <w:p w:rsidR="002725FB" w:rsidRPr="0014231D" w:rsidRDefault="002725FB" w:rsidP="002725FB">
            <w:pPr>
              <w:suppressAutoHyphens/>
              <w:jc w:val="both"/>
              <w:rPr>
                <w:b/>
              </w:rPr>
            </w:pPr>
            <w:r w:rsidRPr="002725FB">
              <w:t>Предельно необходимое Заказчику количество документально подтвержденных и реализованных  контрактов (договоров)  по успешному выполнению участником закупки  работ, оказанию услуг сопоставимого характера и объема</w:t>
            </w:r>
            <w:r>
              <w:rPr>
                <w:b/>
              </w:rPr>
              <w:t xml:space="preserve"> = 20</w:t>
            </w:r>
          </w:p>
        </w:tc>
        <w:tc>
          <w:tcPr>
            <w:tcW w:w="1515" w:type="dxa"/>
          </w:tcPr>
          <w:p w:rsidR="00916FBC" w:rsidRDefault="00CC00DD" w:rsidP="00FC347D">
            <w:pPr>
              <w:spacing w:before="35"/>
              <w:ind w:right="-1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48%</w:t>
            </w:r>
          </w:p>
        </w:tc>
      </w:tr>
    </w:tbl>
    <w:p w:rsidR="00A3368B" w:rsidRPr="00E33C2C" w:rsidRDefault="00A3368B" w:rsidP="00E33C2C">
      <w:pPr>
        <w:spacing w:line="276" w:lineRule="auto"/>
        <w:ind w:right="423"/>
        <w:jc w:val="both"/>
        <w:rPr>
          <w:rFonts w:eastAsia="SimSun"/>
          <w:b/>
          <w:lang w:eastAsia="zh-CN"/>
        </w:rPr>
      </w:pPr>
    </w:p>
    <w:p w:rsidR="00A3368B" w:rsidRPr="00E33C2C" w:rsidRDefault="00A3368B" w:rsidP="002725FB">
      <w:pPr>
        <w:spacing w:line="276" w:lineRule="auto"/>
        <w:ind w:right="423"/>
        <w:rPr>
          <w:rFonts w:eastAsia="SimSun"/>
          <w:b/>
          <w:lang w:eastAsia="zh-CN"/>
        </w:rPr>
      </w:pPr>
      <w:r w:rsidRPr="00E33C2C">
        <w:rPr>
          <w:rFonts w:eastAsia="SimSun"/>
          <w:b/>
          <w:lang w:eastAsia="zh-CN"/>
        </w:rPr>
        <w:t>Сайт:</w:t>
      </w:r>
      <w:r w:rsidR="003F0C56" w:rsidRPr="00E33C2C">
        <w:t xml:space="preserve"> </w:t>
      </w:r>
      <w:hyperlink r:id="rId6" w:history="1">
        <w:r w:rsidR="002725FB" w:rsidRPr="002008DB">
          <w:rPr>
            <w:rStyle w:val="a3"/>
          </w:rPr>
          <w:t>https://zakupki.gov.ru/epz/order/notice/ok504/view/common-info.html?regNumber=0173100008320000075</w:t>
        </w:r>
      </w:hyperlink>
      <w:r w:rsidR="002725FB">
        <w:t xml:space="preserve"> </w:t>
      </w:r>
    </w:p>
    <w:p w:rsidR="003D24FF" w:rsidRDefault="003D24FF" w:rsidP="003D24FF">
      <w:pPr>
        <w:jc w:val="both"/>
        <w:rPr>
          <w:color w:val="000000"/>
        </w:rPr>
      </w:pPr>
    </w:p>
    <w:p w:rsidR="003D24FF" w:rsidRPr="00BD396D" w:rsidRDefault="003D24FF" w:rsidP="003D24FF">
      <w:pPr>
        <w:jc w:val="both"/>
        <w:rPr>
          <w:color w:val="000000"/>
        </w:rPr>
      </w:pPr>
      <w:r w:rsidRPr="00BD396D">
        <w:rPr>
          <w:color w:val="000000"/>
        </w:rPr>
        <w:t>В случае заинтересованности в участии просим обратиться в </w:t>
      </w:r>
      <w:r w:rsidRPr="00BD396D">
        <w:rPr>
          <w:b/>
          <w:bCs/>
          <w:color w:val="000000"/>
        </w:rPr>
        <w:t>Грантовый центр</w:t>
      </w:r>
      <w:r w:rsidRPr="00BD396D">
        <w:rPr>
          <w:color w:val="000000"/>
        </w:rPr>
        <w:t> не позднее </w:t>
      </w:r>
      <w:r w:rsidR="002725FB" w:rsidRPr="002725FB">
        <w:rPr>
          <w:b/>
        </w:rPr>
        <w:t>19.10.2020</w:t>
      </w:r>
      <w:r w:rsidR="002725FB">
        <w:rPr>
          <w:b/>
        </w:rPr>
        <w:t>.</w:t>
      </w:r>
      <w:r w:rsidRPr="00BD396D">
        <w:rPr>
          <w:b/>
          <w:bCs/>
          <w:color w:val="000000"/>
        </w:rPr>
        <w:br/>
      </w:r>
      <w:r w:rsidRPr="00BD396D">
        <w:rPr>
          <w:color w:val="000000"/>
        </w:rPr>
        <w:br/>
        <w:t>Для предполагаемых участников коллектива необходимо иметь следующий пакет документов:</w:t>
      </w:r>
    </w:p>
    <w:p w:rsidR="00A85F50" w:rsidRPr="00B67278" w:rsidRDefault="00B73F03" w:rsidP="003D24FF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B67278">
        <w:t>п</w:t>
      </w:r>
      <w:r w:rsidR="00A85F50" w:rsidRPr="00B67278">
        <w:t>редложение о цене контракта;</w:t>
      </w:r>
    </w:p>
    <w:p w:rsidR="00B67278" w:rsidRPr="00B67278" w:rsidRDefault="00B67278" w:rsidP="00B67278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B67278">
        <w:rPr>
          <w:rFonts w:eastAsia="Calibri"/>
          <w:iCs/>
          <w:lang w:eastAsia="ar-SA"/>
        </w:rPr>
        <w:t xml:space="preserve">копии дипломов, аттестатов или иных документов о присвоении ученой степени установленного образца – </w:t>
      </w:r>
      <w:r w:rsidRPr="00B67278">
        <w:rPr>
          <w:rFonts w:eastAsia="Calibri"/>
          <w:i/>
          <w:iCs/>
          <w:lang w:eastAsia="ar-SA"/>
        </w:rPr>
        <w:t>на каждого квалифицированного специалиста;</w:t>
      </w:r>
    </w:p>
    <w:p w:rsidR="00B67278" w:rsidRPr="00B67278" w:rsidRDefault="00B67278" w:rsidP="00B67278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gramStart"/>
      <w:r w:rsidRPr="00B67278">
        <w:t>Копия трудовой книжки с записью, подтверждающей наличие трудовых отношении с организацией-участником закупки или копия трудового договора между специалистом и организацией-участником закупки или копия гражданско-правового договора  между специалистом и организацией-участником закупки</w:t>
      </w:r>
      <w:r w:rsidRPr="00B67278">
        <w:rPr>
          <w:i/>
        </w:rPr>
        <w:t xml:space="preserve"> </w:t>
      </w:r>
      <w:r w:rsidRPr="00B67278">
        <w:rPr>
          <w:rFonts w:eastAsia="Calibri"/>
          <w:i/>
          <w:iCs/>
          <w:lang w:eastAsia="ar-SA"/>
        </w:rPr>
        <w:t>– на каждого квалифицированного специалиста;</w:t>
      </w:r>
      <w:proofErr w:type="gramEnd"/>
    </w:p>
    <w:p w:rsidR="00B67278" w:rsidRPr="00B67278" w:rsidRDefault="00B67278" w:rsidP="00B67278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gramStart"/>
      <w:r w:rsidRPr="00B67278">
        <w:t xml:space="preserve">Копии государственных контрактов и/или договоров со всеми приложениями на выполнение работ и оказание услуг (при этом государственные контракты и договоры должны быть исполнены без применения к такому участнику неустоек (штрафов, пеней)) с актами о приемке – сдаче выполненных работ и оказанных услуг, подтверждающими отсутствие претензий к участнику закупки </w:t>
      </w:r>
      <w:r w:rsidRPr="00B67278">
        <w:rPr>
          <w:i/>
        </w:rPr>
        <w:t xml:space="preserve">– при наличии исполненных контрактов по указанным темам. </w:t>
      </w:r>
      <w:proofErr w:type="gramEnd"/>
    </w:p>
    <w:p w:rsidR="00906C28" w:rsidRPr="00AD6931" w:rsidRDefault="000B7EB7" w:rsidP="00E33C2C">
      <w:pPr>
        <w:spacing w:line="276" w:lineRule="auto"/>
        <w:jc w:val="both"/>
        <w:rPr>
          <w:b/>
        </w:rPr>
      </w:pPr>
      <w:r w:rsidRPr="000B7EB7">
        <w:rPr>
          <w:b/>
        </w:rPr>
        <w:lastRenderedPageBreak/>
        <w:t>﻿Информация на сайте СФУ:</w:t>
      </w:r>
    </w:p>
    <w:p w:rsidR="000B7EB7" w:rsidRPr="00AD6931" w:rsidRDefault="000B7EB7" w:rsidP="00E33C2C">
      <w:pPr>
        <w:spacing w:line="276" w:lineRule="auto"/>
        <w:jc w:val="both"/>
        <w:rPr>
          <w:b/>
        </w:rPr>
      </w:pPr>
    </w:p>
    <w:p w:rsidR="008F54D4" w:rsidRPr="00AF3CFB" w:rsidRDefault="008F54D4" w:rsidP="00AF3CFB">
      <w:pPr>
        <w:rPr>
          <w:b/>
        </w:rPr>
      </w:pPr>
      <w:r w:rsidRPr="0058710F">
        <w:rPr>
          <w:b/>
        </w:rPr>
        <w:t>Консультации и помощь в СФУ:</w:t>
      </w:r>
      <w:r w:rsidRPr="008F54D4">
        <w:br/>
        <w:t>Степанова Юлия Эдуардовна</w:t>
      </w:r>
    </w:p>
    <w:p w:rsidR="008F54D4" w:rsidRPr="008F54D4" w:rsidRDefault="008F54D4" w:rsidP="008F54D4">
      <w:pPr>
        <w:shd w:val="clear" w:color="auto" w:fill="FFFFFF"/>
        <w:rPr>
          <w:color w:val="000000"/>
        </w:rPr>
      </w:pPr>
      <w:r w:rsidRPr="008F54D4">
        <w:rPr>
          <w:color w:val="000000"/>
        </w:rPr>
        <w:t>Пр. Свободный, 82а, офис 224-4</w:t>
      </w:r>
    </w:p>
    <w:p w:rsidR="008F54D4" w:rsidRPr="008F54D4" w:rsidRDefault="008F54D4" w:rsidP="008F54D4">
      <w:pPr>
        <w:shd w:val="clear" w:color="auto" w:fill="FFFFFF"/>
        <w:rPr>
          <w:color w:val="000000"/>
        </w:rPr>
      </w:pPr>
      <w:r w:rsidRPr="008F54D4">
        <w:rPr>
          <w:color w:val="000000"/>
        </w:rPr>
        <w:t>Красноярск, Россия, 660041</w:t>
      </w:r>
    </w:p>
    <w:p w:rsidR="008F54D4" w:rsidRPr="008F54D4" w:rsidRDefault="008F54D4" w:rsidP="008F54D4">
      <w:pPr>
        <w:shd w:val="clear" w:color="auto" w:fill="FFFFFF"/>
        <w:rPr>
          <w:color w:val="000000"/>
        </w:rPr>
      </w:pPr>
      <w:r w:rsidRPr="008F54D4">
        <w:rPr>
          <w:color w:val="000000"/>
        </w:rPr>
        <w:t>Тел.: +7 (391) 206-26-94</w:t>
      </w:r>
    </w:p>
    <w:p w:rsidR="008F54D4" w:rsidRPr="008F54D4" w:rsidRDefault="008F54D4" w:rsidP="008F54D4">
      <w:pPr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8F54D4">
        <w:rPr>
          <w:color w:val="000000"/>
          <w:shd w:val="clear" w:color="auto" w:fill="FFFFFF"/>
        </w:rPr>
        <w:t>E-</w:t>
      </w:r>
      <w:proofErr w:type="spellStart"/>
      <w:r w:rsidRPr="008F54D4">
        <w:rPr>
          <w:color w:val="000000"/>
          <w:shd w:val="clear" w:color="auto" w:fill="FFFFFF"/>
        </w:rPr>
        <w:t>mail</w:t>
      </w:r>
      <w:proofErr w:type="spellEnd"/>
      <w:r w:rsidRPr="008F54D4">
        <w:rPr>
          <w:color w:val="000000"/>
          <w:shd w:val="clear" w:color="auto" w:fill="FFFFFF"/>
        </w:rPr>
        <w:t>: </w:t>
      </w:r>
      <w:r w:rsidRPr="008F54D4">
        <w:rPr>
          <w:color w:val="336699"/>
          <w:shd w:val="clear" w:color="auto" w:fill="FFFFFF"/>
        </w:rPr>
        <w:t>ystepanova@sfu-kras.ru</w:t>
      </w:r>
    </w:p>
    <w:p w:rsidR="00906C28" w:rsidRPr="008F54D4" w:rsidRDefault="00906C28" w:rsidP="00E33C2C">
      <w:pPr>
        <w:spacing w:line="276" w:lineRule="auto"/>
        <w:ind w:left="426" w:right="423" w:firstLine="425"/>
        <w:jc w:val="both"/>
        <w:rPr>
          <w:rFonts w:eastAsia="SimSun"/>
          <w:b/>
          <w:i/>
          <w:lang w:eastAsia="zh-CN"/>
        </w:rPr>
      </w:pPr>
    </w:p>
    <w:p w:rsidR="00FA1D1F" w:rsidRPr="008F54D4" w:rsidRDefault="00FA1D1F"/>
    <w:p w:rsidR="00FA1D1F" w:rsidRDefault="00FA1D1F"/>
    <w:p w:rsidR="00130FF0" w:rsidRDefault="00130FF0"/>
    <w:p w:rsidR="00130FF0" w:rsidRDefault="00130FF0"/>
    <w:p w:rsidR="00130FF0" w:rsidRDefault="00130FF0" w:rsidP="00130FF0">
      <w:pPr>
        <w:spacing w:line="23" w:lineRule="atLeast"/>
        <w:ind w:right="-1"/>
        <w:jc w:val="both"/>
      </w:pPr>
    </w:p>
    <w:p w:rsidR="00130FF0" w:rsidRDefault="00130FF0"/>
    <w:sectPr w:rsidR="0013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6A19"/>
    <w:multiLevelType w:val="hybridMultilevel"/>
    <w:tmpl w:val="1E88AE3C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5AD200DC"/>
    <w:multiLevelType w:val="hybridMultilevel"/>
    <w:tmpl w:val="3536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63863"/>
    <w:multiLevelType w:val="hybridMultilevel"/>
    <w:tmpl w:val="8AA2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E3117"/>
    <w:multiLevelType w:val="hybridMultilevel"/>
    <w:tmpl w:val="DFD6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E5176"/>
    <w:multiLevelType w:val="multilevel"/>
    <w:tmpl w:val="AA16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62"/>
    <w:rsid w:val="00007CBF"/>
    <w:rsid w:val="00021234"/>
    <w:rsid w:val="00026C8C"/>
    <w:rsid w:val="00033CE4"/>
    <w:rsid w:val="0007228C"/>
    <w:rsid w:val="000B7EB7"/>
    <w:rsid w:val="00101D83"/>
    <w:rsid w:val="00130FF0"/>
    <w:rsid w:val="001927DC"/>
    <w:rsid w:val="001D3142"/>
    <w:rsid w:val="001F641D"/>
    <w:rsid w:val="00222051"/>
    <w:rsid w:val="0023323A"/>
    <w:rsid w:val="002725FB"/>
    <w:rsid w:val="003872E3"/>
    <w:rsid w:val="00387C92"/>
    <w:rsid w:val="003A4BD7"/>
    <w:rsid w:val="003D24FF"/>
    <w:rsid w:val="003D396E"/>
    <w:rsid w:val="003F0C56"/>
    <w:rsid w:val="004937DC"/>
    <w:rsid w:val="004A1A8E"/>
    <w:rsid w:val="004A4382"/>
    <w:rsid w:val="00521FA2"/>
    <w:rsid w:val="0058710F"/>
    <w:rsid w:val="00597450"/>
    <w:rsid w:val="005D7AAA"/>
    <w:rsid w:val="006D3B12"/>
    <w:rsid w:val="006D5496"/>
    <w:rsid w:val="006E3957"/>
    <w:rsid w:val="0071003C"/>
    <w:rsid w:val="007B6EA5"/>
    <w:rsid w:val="00825ACD"/>
    <w:rsid w:val="0083193D"/>
    <w:rsid w:val="00852805"/>
    <w:rsid w:val="008F1A6B"/>
    <w:rsid w:val="008F54D4"/>
    <w:rsid w:val="00900572"/>
    <w:rsid w:val="00900893"/>
    <w:rsid w:val="00906C28"/>
    <w:rsid w:val="00916FBC"/>
    <w:rsid w:val="00920E16"/>
    <w:rsid w:val="00A3368B"/>
    <w:rsid w:val="00A64BEA"/>
    <w:rsid w:val="00A66E80"/>
    <w:rsid w:val="00A85F50"/>
    <w:rsid w:val="00AC515C"/>
    <w:rsid w:val="00AD6931"/>
    <w:rsid w:val="00AF3CFB"/>
    <w:rsid w:val="00B05EDA"/>
    <w:rsid w:val="00B111C3"/>
    <w:rsid w:val="00B17BFA"/>
    <w:rsid w:val="00B67278"/>
    <w:rsid w:val="00B73F03"/>
    <w:rsid w:val="00B7749D"/>
    <w:rsid w:val="00BE3797"/>
    <w:rsid w:val="00C12181"/>
    <w:rsid w:val="00C378A3"/>
    <w:rsid w:val="00C87562"/>
    <w:rsid w:val="00CA7E10"/>
    <w:rsid w:val="00CC00DD"/>
    <w:rsid w:val="00CD1C2B"/>
    <w:rsid w:val="00D36F22"/>
    <w:rsid w:val="00DA6221"/>
    <w:rsid w:val="00DB1FC2"/>
    <w:rsid w:val="00E20CA6"/>
    <w:rsid w:val="00E33C2C"/>
    <w:rsid w:val="00E43334"/>
    <w:rsid w:val="00EA506A"/>
    <w:rsid w:val="00EE2A2C"/>
    <w:rsid w:val="00FA1D1F"/>
    <w:rsid w:val="00FB4E23"/>
    <w:rsid w:val="00F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A1D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49D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FA1D1F"/>
    <w:rPr>
      <w:rFonts w:ascii="Calibri" w:eastAsia="Times New Roman" w:hAnsi="Calibri" w:cs="Times New Roman"/>
      <w:b/>
      <w:bCs/>
      <w:lang w:eastAsia="ru-RU"/>
    </w:rPr>
  </w:style>
  <w:style w:type="paragraph" w:styleId="a4">
    <w:name w:val="List Paragraph"/>
    <w:aliases w:val="Абзац списка основной,ПАРАГРАФ,Bullet List,FooterText,numbered,список 1"/>
    <w:basedOn w:val="a"/>
    <w:link w:val="a5"/>
    <w:uiPriority w:val="99"/>
    <w:qFormat/>
    <w:rsid w:val="00FA1D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FA1D1F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FA1D1F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FA1D1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FA1D1F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FA1D1F"/>
    <w:pPr>
      <w:widowControl w:val="0"/>
      <w:autoSpaceDE w:val="0"/>
      <w:autoSpaceDN w:val="0"/>
      <w:adjustRightInd w:val="0"/>
      <w:jc w:val="right"/>
    </w:pPr>
  </w:style>
  <w:style w:type="character" w:styleId="a6">
    <w:name w:val="Strong"/>
    <w:basedOn w:val="a0"/>
    <w:uiPriority w:val="22"/>
    <w:qFormat/>
    <w:rsid w:val="00E43334"/>
    <w:rPr>
      <w:b/>
      <w:bCs/>
    </w:rPr>
  </w:style>
  <w:style w:type="character" w:customStyle="1" w:styleId="a5">
    <w:name w:val="Абзац списка Знак"/>
    <w:aliases w:val="Абзац списка основной Знак,ПАРАГРАФ Знак,Bullet List Знак,FooterText Знак,numbered Знак,список 1 Знак"/>
    <w:link w:val="a4"/>
    <w:uiPriority w:val="99"/>
    <w:rsid w:val="00920E16"/>
    <w:rPr>
      <w:rFonts w:ascii="Calibri" w:eastAsia="Calibri" w:hAnsi="Calibri" w:cs="Times New Roman"/>
    </w:rPr>
  </w:style>
  <w:style w:type="paragraph" w:customStyle="1" w:styleId="ConsPlusNormal">
    <w:name w:val="ConsPlusNormal"/>
    <w:rsid w:val="00900572"/>
    <w:pPr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7">
    <w:name w:val="Table Grid"/>
    <w:basedOn w:val="a1"/>
    <w:uiPriority w:val="59"/>
    <w:rsid w:val="0091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A1D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49D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FA1D1F"/>
    <w:rPr>
      <w:rFonts w:ascii="Calibri" w:eastAsia="Times New Roman" w:hAnsi="Calibri" w:cs="Times New Roman"/>
      <w:b/>
      <w:bCs/>
      <w:lang w:eastAsia="ru-RU"/>
    </w:rPr>
  </w:style>
  <w:style w:type="paragraph" w:styleId="a4">
    <w:name w:val="List Paragraph"/>
    <w:aliases w:val="Абзац списка основной,ПАРАГРАФ,Bullet List,FooterText,numbered,список 1"/>
    <w:basedOn w:val="a"/>
    <w:link w:val="a5"/>
    <w:uiPriority w:val="99"/>
    <w:qFormat/>
    <w:rsid w:val="00FA1D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FA1D1F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FA1D1F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FA1D1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FA1D1F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FA1D1F"/>
    <w:pPr>
      <w:widowControl w:val="0"/>
      <w:autoSpaceDE w:val="0"/>
      <w:autoSpaceDN w:val="0"/>
      <w:adjustRightInd w:val="0"/>
      <w:jc w:val="right"/>
    </w:pPr>
  </w:style>
  <w:style w:type="character" w:styleId="a6">
    <w:name w:val="Strong"/>
    <w:basedOn w:val="a0"/>
    <w:uiPriority w:val="22"/>
    <w:qFormat/>
    <w:rsid w:val="00E43334"/>
    <w:rPr>
      <w:b/>
      <w:bCs/>
    </w:rPr>
  </w:style>
  <w:style w:type="character" w:customStyle="1" w:styleId="a5">
    <w:name w:val="Абзац списка Знак"/>
    <w:aliases w:val="Абзац списка основной Знак,ПАРАГРАФ Знак,Bullet List Знак,FooterText Знак,numbered Знак,список 1 Знак"/>
    <w:link w:val="a4"/>
    <w:uiPriority w:val="99"/>
    <w:rsid w:val="00920E16"/>
    <w:rPr>
      <w:rFonts w:ascii="Calibri" w:eastAsia="Calibri" w:hAnsi="Calibri" w:cs="Times New Roman"/>
    </w:rPr>
  </w:style>
  <w:style w:type="paragraph" w:customStyle="1" w:styleId="ConsPlusNormal">
    <w:name w:val="ConsPlusNormal"/>
    <w:rsid w:val="00900572"/>
    <w:pPr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7">
    <w:name w:val="Table Grid"/>
    <w:basedOn w:val="a1"/>
    <w:uiPriority w:val="59"/>
    <w:rsid w:val="0091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order/notice/ok504/view/common-info.html?regNumber=01731000083200000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Юлия Эдуардовна</dc:creator>
  <cp:keywords/>
  <dc:description/>
  <cp:lastModifiedBy>Степанова Юлия Эдуардовна</cp:lastModifiedBy>
  <cp:revision>69</cp:revision>
  <dcterms:created xsi:type="dcterms:W3CDTF">2018-08-21T03:46:00Z</dcterms:created>
  <dcterms:modified xsi:type="dcterms:W3CDTF">2020-10-02T06:44:00Z</dcterms:modified>
</cp:coreProperties>
</file>